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B37B38">
        <w:rPr>
          <w:snapToGrid w:val="0"/>
        </w:rPr>
        <w:t>1</w:t>
      </w:r>
      <w:r w:rsidR="00603015">
        <w:rPr>
          <w:snapToGrid w:val="0"/>
        </w:rPr>
        <w:t>4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37B38">
        <w:rPr>
          <w:snapToGrid w:val="0"/>
        </w:rPr>
        <w:t>1</w:t>
      </w:r>
      <w:r w:rsidR="00603015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603015">
        <w:rPr>
          <w:snapToGrid w:val="0"/>
        </w:rPr>
        <w:t>29</w:t>
      </w:r>
      <w:r w:rsidR="00B37B38">
        <w:rPr>
          <w:snapToGrid w:val="0"/>
        </w:rPr>
        <w:t>.3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603015">
        <w:rPr>
          <w:snapToGrid w:val="0"/>
        </w:rPr>
        <w:t>5.4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951EB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951EB" w:rsidRDefault="002951EB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951EB" w:rsidRPr="003A587D" w:rsidRDefault="002951EB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951EB" w:rsidRPr="003A587D" w:rsidRDefault="002E041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951EB" w:rsidRPr="00C33450" w:rsidRDefault="002951EB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951EB" w:rsidRDefault="002951EB" w:rsidP="002951EB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6B21EF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B21EF" w:rsidRDefault="00603015" w:rsidP="003000A5">
            <w:pPr>
              <w:pStyle w:val="Titulek"/>
              <w:spacing w:before="0"/>
            </w:pPr>
            <w:proofErr w:type="gramStart"/>
            <w:r>
              <w:t>5.4</w:t>
            </w:r>
            <w:r w:rsidR="006B21EF">
              <w:t>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Pr="00542F89" w:rsidRDefault="00603015" w:rsidP="003000A5">
            <w:pPr>
              <w:jc w:val="center"/>
            </w:pPr>
            <w:r>
              <w:t>CZ0001004469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Pr="000D0E57" w:rsidRDefault="00603015" w:rsidP="00142E4C">
            <w:pPr>
              <w:jc w:val="center"/>
            </w:pPr>
            <w:r w:rsidRPr="00603015">
              <w:t>ST.DLUHOP. 1,00/26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6B21EF" w:rsidRDefault="006B21EF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B21EF" w:rsidRDefault="00603015" w:rsidP="00825A8A">
            <w:pPr>
              <w:pStyle w:val="Titulek"/>
            </w:pPr>
            <w:r>
              <w:t>17</w:t>
            </w:r>
            <w:r w:rsidR="006B21EF">
              <w:t xml:space="preserve">. tranše, </w:t>
            </w:r>
            <w:proofErr w:type="gramStart"/>
            <w:r w:rsidR="006B21EF">
              <w:t>na</w:t>
            </w:r>
            <w:r w:rsidR="002D7FC8">
              <w:t xml:space="preserve"> </w:t>
            </w:r>
            <w:r w:rsidR="006B21EF">
              <w:t xml:space="preserve"> </w:t>
            </w:r>
            <w:r w:rsidR="00825A8A" w:rsidRPr="00825A8A">
              <w:t>8</w:t>
            </w:r>
            <w:r w:rsidR="00825A8A">
              <w:t>.</w:t>
            </w:r>
            <w:r w:rsidR="00825A8A" w:rsidRPr="00825A8A">
              <w:t>305</w:t>
            </w:r>
            <w:r w:rsidR="00825A8A">
              <w:t>.</w:t>
            </w:r>
            <w:r w:rsidR="00825A8A" w:rsidRPr="00825A8A">
              <w:t>016</w:t>
            </w:r>
            <w:proofErr w:type="gramEnd"/>
            <w:r w:rsidR="00825A8A">
              <w:t xml:space="preserve"> </w:t>
            </w:r>
            <w:r w:rsidR="006B21EF">
              <w:t>ks</w:t>
            </w:r>
          </w:p>
        </w:tc>
      </w:tr>
      <w:tr w:rsidR="006B21EF" w:rsidTr="00A70691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6B21EF" w:rsidRDefault="00603015" w:rsidP="003000A5">
            <w:pPr>
              <w:pStyle w:val="Titulek"/>
              <w:spacing w:before="0"/>
            </w:pPr>
            <w:proofErr w:type="gramStart"/>
            <w:r>
              <w:t>5.4</w:t>
            </w:r>
            <w:r w:rsidR="006B21EF">
              <w:t>.2019</w:t>
            </w:r>
            <w:proofErr w:type="gramEnd"/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Pr="00542F89" w:rsidRDefault="00603015" w:rsidP="003000A5">
            <w:pPr>
              <w:jc w:val="center"/>
            </w:pPr>
            <w:r w:rsidRPr="00603015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B21EF" w:rsidRDefault="00603015" w:rsidP="00142E4C">
            <w:pPr>
              <w:jc w:val="center"/>
            </w:pPr>
            <w:r w:rsidRPr="00603015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6B21EF" w:rsidRDefault="006B21EF" w:rsidP="003000A5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6B21EF" w:rsidRDefault="00603015" w:rsidP="00825A8A">
            <w:pPr>
              <w:pStyle w:val="Titulek"/>
            </w:pPr>
            <w:r>
              <w:t>12</w:t>
            </w:r>
            <w:r w:rsidR="006B21EF">
              <w:t xml:space="preserve">. tranše, </w:t>
            </w:r>
            <w:proofErr w:type="gramStart"/>
            <w:r w:rsidR="006B21EF">
              <w:t>na</w:t>
            </w:r>
            <w:r w:rsidR="002D7FC8">
              <w:t xml:space="preserve"> </w:t>
            </w:r>
            <w:r w:rsidR="006B21EF">
              <w:t xml:space="preserve"> </w:t>
            </w:r>
            <w:r w:rsidR="00825A8A" w:rsidRPr="00825A8A">
              <w:t>4</w:t>
            </w:r>
            <w:r w:rsidR="00825A8A">
              <w:t>.</w:t>
            </w:r>
            <w:r w:rsidR="00825A8A" w:rsidRPr="00825A8A">
              <w:t>5</w:t>
            </w:r>
            <w:bookmarkStart w:id="0" w:name="_GoBack"/>
            <w:bookmarkEnd w:id="0"/>
            <w:r w:rsidR="00825A8A" w:rsidRPr="00825A8A">
              <w:t>16</w:t>
            </w:r>
            <w:r w:rsidR="00825A8A">
              <w:t>.</w:t>
            </w:r>
            <w:r w:rsidR="00825A8A" w:rsidRPr="00825A8A">
              <w:t>332</w:t>
            </w:r>
            <w:proofErr w:type="gramEnd"/>
            <w:r w:rsidR="00825A8A">
              <w:t xml:space="preserve"> </w:t>
            </w:r>
            <w:r w:rsidR="006B21EF"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624A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495AD4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7777FF" wp14:editId="78436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8F2DB6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878CE4" wp14:editId="0734E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13E973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E7B04" w:rsidRPr="00517F74" w:rsidRDefault="002E7B04" w:rsidP="002E7B04">
      <w:pPr>
        <w:pStyle w:val="Nadpis3"/>
      </w:pPr>
      <w:r>
        <w:t xml:space="preserve">3. Tvůrci trhu a podporovatelé likvidity          </w:t>
      </w:r>
    </w:p>
    <w:p w:rsidR="002864BC" w:rsidRPr="002864BC" w:rsidRDefault="002864BC" w:rsidP="002864BC">
      <w:pPr>
        <w:pStyle w:val="Nadpis1"/>
        <w:jc w:val="left"/>
        <w:rPr>
          <w:sz w:val="22"/>
        </w:rPr>
      </w:pPr>
      <w:r w:rsidRPr="002864BC">
        <w:rPr>
          <w:sz w:val="22"/>
        </w:rPr>
        <w:t>3.</w:t>
      </w:r>
      <w:r w:rsidR="00D55674">
        <w:rPr>
          <w:sz w:val="22"/>
        </w:rPr>
        <w:t>1</w:t>
      </w:r>
      <w:r w:rsidRPr="002864BC">
        <w:rPr>
          <w:sz w:val="22"/>
        </w:rPr>
        <w:t>. Seznam investičních cenných papírů, u kterých mohou působit tvůrci trhu RM-S, platný od 1. března 2019</w:t>
      </w:r>
    </w:p>
    <w:p w:rsidR="002864BC" w:rsidRPr="00D5408A" w:rsidRDefault="002864BC" w:rsidP="002864B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2864BC" w:rsidTr="00A7069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2864BC" w:rsidRDefault="002864BC" w:rsidP="00A7069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864BC" w:rsidTr="00A7069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64BC" w:rsidRDefault="002864BC" w:rsidP="00A7069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2864BC" w:rsidRDefault="002864BC" w:rsidP="00A7069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864BC" w:rsidRDefault="002864BC" w:rsidP="00A70691"/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Pr="00264A0E" w:rsidRDefault="002864BC" w:rsidP="00A70691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2864BC" w:rsidRPr="00264A0E" w:rsidRDefault="002864BC" w:rsidP="00A70691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2864BC" w:rsidRPr="007B3AFC" w:rsidRDefault="002864BC" w:rsidP="00A7069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2864BC" w:rsidRPr="007B3AFC" w:rsidRDefault="002864BC" w:rsidP="00A70691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Pr="00264A0E" w:rsidRDefault="002864BC" w:rsidP="00A70691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2864BC" w:rsidRPr="00264A0E" w:rsidRDefault="002864BC" w:rsidP="00A70691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EA0247" w:rsidRDefault="002864BC" w:rsidP="00A7069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864BC" w:rsidRPr="00EA0247" w:rsidRDefault="002864BC" w:rsidP="00A70691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CZ0005112300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EE40AF" w:rsidRDefault="002864BC" w:rsidP="00A70691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2864BC" w:rsidRPr="00EE40AF" w:rsidRDefault="002864BC" w:rsidP="00A70691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CZ0008019106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CZ0009093209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Pr="00F52ED1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864BC" w:rsidTr="00A7069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2864BC" w:rsidRDefault="002864BC" w:rsidP="00A70691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2864BC" w:rsidRDefault="002864BC" w:rsidP="00A70691">
            <w:r>
              <w:t>CZ0008040318</w:t>
            </w:r>
          </w:p>
        </w:tc>
        <w:tc>
          <w:tcPr>
            <w:tcW w:w="1134" w:type="dxa"/>
            <w:vAlign w:val="center"/>
          </w:tcPr>
          <w:p w:rsidR="002864BC" w:rsidRPr="005C6E46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2864BC" w:rsidRPr="005E471D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864BC" w:rsidRDefault="002864BC" w:rsidP="00A70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2864BC" w:rsidRDefault="002864BC" w:rsidP="002864BC">
      <w:pPr>
        <w:pStyle w:val="Nadpis4"/>
        <w:ind w:left="0" w:firstLine="0"/>
      </w:pPr>
      <w:r>
        <w:t>3.</w:t>
      </w:r>
      <w:r w:rsidR="00D55674">
        <w:t>2</w:t>
      </w:r>
      <w:r>
        <w:t xml:space="preserve">. Seznam tvůrců trhu </w:t>
      </w:r>
    </w:p>
    <w:p w:rsidR="002864BC" w:rsidRDefault="002864BC" w:rsidP="002864B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2864BC" w:rsidRDefault="002864BC" w:rsidP="002864BC">
      <w:pPr>
        <w:pStyle w:val="Nadpis4"/>
        <w:ind w:left="0" w:firstLine="0"/>
      </w:pPr>
      <w:r>
        <w:t>3.</w:t>
      </w:r>
      <w:r w:rsidR="00D55674">
        <w:t>3</w:t>
      </w:r>
      <w:r>
        <w:t>. Seznam podporovatelů likvidity</w:t>
      </w:r>
    </w:p>
    <w:p w:rsidR="002864BC" w:rsidRDefault="002864BC" w:rsidP="002864B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březnu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052DF1" w:rsidRPr="00052DF1" w:rsidRDefault="00052DF1" w:rsidP="00052DF1">
      <w:pPr>
        <w:pStyle w:val="Nadpis1"/>
        <w:jc w:val="left"/>
        <w:rPr>
          <w:sz w:val="22"/>
        </w:rPr>
      </w:pPr>
      <w:r w:rsidRPr="00052DF1">
        <w:rPr>
          <w:sz w:val="22"/>
        </w:rPr>
        <w:t>3.4. Seznam investičních cenných papírů, u kterých mohou působit tvůrci trhu RM-S, platný od 1. dubna 2019</w:t>
      </w:r>
    </w:p>
    <w:p w:rsidR="00052DF1" w:rsidRPr="00D5408A" w:rsidRDefault="00052DF1" w:rsidP="00052DF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052DF1" w:rsidTr="00BC5FA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52DF1" w:rsidRDefault="00052DF1" w:rsidP="00BC5FA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052DF1" w:rsidTr="00BC5FA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052DF1" w:rsidRDefault="00052DF1" w:rsidP="00BC5FA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52DF1" w:rsidRDefault="00052DF1" w:rsidP="00BC5FA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2DF1" w:rsidRDefault="00052DF1" w:rsidP="00BC5FA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052DF1" w:rsidRDefault="00052DF1" w:rsidP="00BC5FA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52DF1" w:rsidRDefault="00052DF1" w:rsidP="00BC5FA0"/>
        </w:tc>
      </w:tr>
      <w:tr w:rsidR="00052DF1" w:rsidTr="00BC5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BC5FA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BC5FA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052DF1" w:rsidRPr="007B3AFC" w:rsidRDefault="00052DF1" w:rsidP="00BC5FA0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52DF1" w:rsidRPr="007B3AFC" w:rsidRDefault="00052DF1" w:rsidP="00BC5FA0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BC5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Pr="00264A0E" w:rsidRDefault="00052DF1" w:rsidP="00BC5FA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052DF1" w:rsidRPr="00264A0E" w:rsidRDefault="00052DF1" w:rsidP="00BC5FA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A0247" w:rsidRDefault="00052DF1" w:rsidP="00BC5FA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EA0247" w:rsidRDefault="00052DF1" w:rsidP="00BC5FA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BC5FA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BC5FA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052DF1" w:rsidRDefault="00052DF1" w:rsidP="00BC5FA0">
            <w:r>
              <w:t>CZ0005112300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EE40AF" w:rsidRDefault="00052DF1" w:rsidP="00BC5FA0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052DF1" w:rsidRPr="00EE40AF" w:rsidRDefault="00052DF1" w:rsidP="00BC5FA0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BC5FA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BC5FA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052DF1" w:rsidRDefault="00052DF1" w:rsidP="00BC5FA0">
            <w:r>
              <w:t>CZ0008019106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BC5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BC5FA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052DF1" w:rsidRDefault="00052DF1" w:rsidP="00BC5FA0">
            <w:r>
              <w:t>CZ0009093209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Pr="00F52ED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52DF1" w:rsidTr="00BC5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052DF1" w:rsidRDefault="00052DF1" w:rsidP="00BC5FA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052DF1" w:rsidRDefault="00052DF1" w:rsidP="00BC5FA0">
            <w:r>
              <w:t>CZ0008040318</w:t>
            </w:r>
          </w:p>
        </w:tc>
        <w:tc>
          <w:tcPr>
            <w:tcW w:w="1134" w:type="dxa"/>
            <w:vAlign w:val="center"/>
          </w:tcPr>
          <w:p w:rsidR="00052DF1" w:rsidRPr="005C6E46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052DF1" w:rsidRPr="005E471D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52DF1" w:rsidRDefault="00052DF1" w:rsidP="00BC5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52DF1" w:rsidRDefault="00052DF1" w:rsidP="00052DF1">
      <w:pPr>
        <w:pStyle w:val="Nadpis4"/>
        <w:ind w:left="0" w:firstLine="0"/>
      </w:pPr>
      <w:r>
        <w:t xml:space="preserve">3.5. Seznam tvůrců trhu 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52DF1" w:rsidRDefault="00052DF1" w:rsidP="00052DF1">
      <w:pPr>
        <w:pStyle w:val="Nadpis4"/>
        <w:ind w:left="0" w:firstLine="0"/>
      </w:pPr>
      <w:r>
        <w:t>3.6. Seznam podporovatelů likvidity</w:t>
      </w:r>
    </w:p>
    <w:p w:rsidR="00052DF1" w:rsidRDefault="00052DF1" w:rsidP="00052DF1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 </w:t>
      </w:r>
      <w:proofErr w:type="gramStart"/>
      <w:r>
        <w:rPr>
          <w:b w:val="0"/>
          <w:sz w:val="20"/>
        </w:rPr>
        <w:t>dubna</w:t>
      </w:r>
      <w:proofErr w:type="gramEnd"/>
      <w:r>
        <w:rPr>
          <w:b w:val="0"/>
          <w:sz w:val="20"/>
        </w:rPr>
        <w:t xml:space="preserve">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2864BC" w:rsidRDefault="002864BC" w:rsidP="002864BC"/>
    <w:p w:rsidR="002864BC" w:rsidRPr="002864BC" w:rsidRDefault="002864BC" w:rsidP="002864BC"/>
    <w:p w:rsidR="00920EA1" w:rsidRDefault="00920EA1">
      <w:pPr>
        <w:rPr>
          <w:b/>
          <w:snapToGrid w:val="0"/>
          <w:sz w:val="24"/>
        </w:rPr>
      </w:pPr>
      <w:r>
        <w:br w:type="page"/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603015" w:rsidP="007B5CC7">
            <w:pPr>
              <w:pStyle w:val="Titulek"/>
            </w:pPr>
            <w:proofErr w:type="gramStart"/>
            <w:r>
              <w:t>6.4.2019</w:t>
            </w:r>
            <w:proofErr w:type="gramEnd"/>
          </w:p>
        </w:tc>
        <w:tc>
          <w:tcPr>
            <w:tcW w:w="1559" w:type="dxa"/>
            <w:vAlign w:val="bottom"/>
          </w:tcPr>
          <w:p w:rsidR="000A1EB1" w:rsidRPr="003A587D" w:rsidRDefault="00603015" w:rsidP="00D51C90">
            <w:pPr>
              <w:pStyle w:val="Titulek"/>
            </w:pPr>
            <w:r w:rsidRPr="006B56B3">
              <w:t>LU0122624777</w:t>
            </w:r>
          </w:p>
        </w:tc>
        <w:tc>
          <w:tcPr>
            <w:tcW w:w="2835" w:type="dxa"/>
            <w:vAlign w:val="bottom"/>
          </w:tcPr>
          <w:p w:rsidR="000A1EB1" w:rsidRPr="003A587D" w:rsidRDefault="00603015" w:rsidP="007B5CC7">
            <w:pPr>
              <w:pStyle w:val="Titulek"/>
            </w:pPr>
            <w:r>
              <w:t>ORCO</w:t>
            </w:r>
          </w:p>
        </w:tc>
        <w:tc>
          <w:tcPr>
            <w:tcW w:w="3969" w:type="dxa"/>
          </w:tcPr>
          <w:p w:rsidR="000A1EB1" w:rsidRPr="00C33450" w:rsidRDefault="00603015" w:rsidP="007B5CC7">
            <w:pPr>
              <w:pStyle w:val="Titulek"/>
            </w:pPr>
            <w:r>
              <w:t>Na základě rozhodnutí ředitele RMS č. 2/2019</w:t>
            </w: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F47F6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603015">
        <w:rPr>
          <w:snapToGrid w:val="0"/>
        </w:rPr>
        <w:t>29</w:t>
      </w:r>
      <w:r w:rsidR="00A37350">
        <w:rPr>
          <w:snapToGrid w:val="0"/>
        </w:rPr>
        <w:t>.3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603015">
        <w:rPr>
          <w:snapToGrid w:val="0"/>
        </w:rPr>
        <w:t>5.4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5160D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45160D" w:rsidRDefault="0045160D" w:rsidP="0045160D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45160D" w:rsidRPr="00765F58" w:rsidRDefault="0045160D" w:rsidP="0045160D">
            <w:pPr>
              <w:jc w:val="center"/>
            </w:pPr>
          </w:p>
        </w:tc>
        <w:tc>
          <w:tcPr>
            <w:tcW w:w="2551" w:type="dxa"/>
            <w:vAlign w:val="bottom"/>
          </w:tcPr>
          <w:p w:rsidR="0045160D" w:rsidRPr="00765F58" w:rsidRDefault="00EB648A" w:rsidP="0045160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5160D" w:rsidRDefault="0045160D" w:rsidP="0045160D">
            <w:pPr>
              <w:jc w:val="center"/>
            </w:pPr>
          </w:p>
        </w:tc>
        <w:tc>
          <w:tcPr>
            <w:tcW w:w="2835" w:type="dxa"/>
            <w:vAlign w:val="bottom"/>
          </w:tcPr>
          <w:p w:rsidR="0045160D" w:rsidRPr="00186164" w:rsidRDefault="0045160D" w:rsidP="0045160D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8.4.2019</w:t>
            </w:r>
            <w:proofErr w:type="gramEnd"/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  <w:r w:rsidRPr="006B56B3">
              <w:t>LU0122624777</w:t>
            </w:r>
          </w:p>
        </w:tc>
        <w:tc>
          <w:tcPr>
            <w:tcW w:w="2551" w:type="dxa"/>
            <w:vAlign w:val="bottom"/>
          </w:tcPr>
          <w:p w:rsidR="00603015" w:rsidRPr="003A587D" w:rsidRDefault="00603015" w:rsidP="00603015">
            <w:pPr>
              <w:pStyle w:val="Titulek"/>
            </w:pPr>
            <w:r>
              <w:t>ORCO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  <w:r w:rsidRPr="00603015">
              <w:t>BAAORCO</w:t>
            </w:r>
          </w:p>
        </w:tc>
        <w:tc>
          <w:tcPr>
            <w:tcW w:w="2835" w:type="dxa"/>
            <w:vAlign w:val="bottom"/>
          </w:tcPr>
          <w:p w:rsidR="00603015" w:rsidRPr="00186164" w:rsidRDefault="00C97768" w:rsidP="00603015">
            <w:pPr>
              <w:jc w:val="center"/>
            </w:pPr>
            <w:r>
              <w:t>Na základě rozhodnutí ředitele RMS č. 3/2019</w:t>
            </w: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202DE8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D10145" w:rsidRDefault="00D10145" w:rsidP="00BB655C">
      <w:pPr>
        <w:ind w:left="408"/>
        <w:jc w:val="both"/>
      </w:pPr>
    </w:p>
    <w:p w:rsidR="00D10145" w:rsidRDefault="00D10145" w:rsidP="00D10145">
      <w:pPr>
        <w:ind w:left="408"/>
        <w:jc w:val="both"/>
        <w:rPr>
          <w:b/>
        </w:rPr>
      </w:pPr>
      <w:r>
        <w:rPr>
          <w:b/>
        </w:rPr>
        <w:t>5.1.</w:t>
      </w:r>
      <w:r w:rsidR="009A69ED">
        <w:rPr>
          <w:b/>
        </w:rPr>
        <w:t>1</w:t>
      </w:r>
      <w:r>
        <w:rPr>
          <w:b/>
        </w:rPr>
        <w:t xml:space="preserve">. Dne 28. </w:t>
      </w:r>
      <w:r w:rsidR="00DA049E">
        <w:rPr>
          <w:b/>
        </w:rPr>
        <w:t>b</w:t>
      </w:r>
      <w:r>
        <w:rPr>
          <w:b/>
        </w:rPr>
        <w:t xml:space="preserve">řezna 2019 se bude dle oznámení společnosti </w:t>
      </w:r>
      <w:r w:rsidRPr="00D10145">
        <w:rPr>
          <w:b/>
        </w:rPr>
        <w:t>DEUTSCHE TELEKOM AG</w:t>
      </w:r>
      <w:r>
        <w:rPr>
          <w:b/>
        </w:rPr>
        <w:t xml:space="preserve"> konat řádná valná hromada společnosti</w:t>
      </w:r>
    </w:p>
    <w:p w:rsidR="00D10145" w:rsidRDefault="00D10145" w:rsidP="00D10145">
      <w:pPr>
        <w:ind w:left="408"/>
        <w:jc w:val="both"/>
      </w:pPr>
    </w:p>
    <w:p w:rsidR="00D10145" w:rsidRDefault="00D10145" w:rsidP="00D10145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</w:t>
      </w:r>
      <w:proofErr w:type="gramStart"/>
      <w:r>
        <w:t>12.3.201</w:t>
      </w:r>
      <w:r w:rsidR="00037CA7">
        <w:t>9</w:t>
      </w:r>
      <w:proofErr w:type="gramEnd"/>
      <w:r>
        <w:t xml:space="preserve">. </w:t>
      </w:r>
      <w:r w:rsidR="00037CA7">
        <w:t xml:space="preserve"> </w:t>
      </w:r>
      <w:r>
        <w:t xml:space="preserve">Rozhodný den pro účast na řádné valné hromadě byl stanoven na </w:t>
      </w:r>
      <w:proofErr w:type="gramStart"/>
      <w:r>
        <w:t>13.3.2019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D10145" w:rsidRDefault="00D10145" w:rsidP="00D1014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037CA7" w:rsidRPr="00037CA7">
        <w:t xml:space="preserve">DEUTSCHE TELEKOM </w:t>
      </w:r>
      <w:proofErr w:type="gramStart"/>
      <w:r w:rsidR="00037CA7" w:rsidRPr="00037CA7">
        <w:t xml:space="preserve">AG , </w:t>
      </w:r>
      <w:r>
        <w:t>přičemž</w:t>
      </w:r>
      <w:proofErr w:type="gramEnd"/>
      <w:r>
        <w:t xml:space="preserve"> se bude jednat pouze o jejich registraci u společnosti </w:t>
      </w:r>
      <w:r w:rsidR="00037CA7" w:rsidRPr="00037CA7">
        <w:t>DEUTSCHE TELEKOM AG</w:t>
      </w:r>
      <w:r w:rsidR="00037CA7">
        <w:t>.</w:t>
      </w:r>
    </w:p>
    <w:p w:rsidR="00A31820" w:rsidRDefault="00A31820" w:rsidP="00A31820">
      <w:pPr>
        <w:ind w:left="408"/>
        <w:jc w:val="both"/>
        <w:rPr>
          <w:b/>
        </w:rPr>
      </w:pPr>
    </w:p>
    <w:p w:rsidR="00A31820" w:rsidRDefault="00A31820" w:rsidP="00A31820">
      <w:pPr>
        <w:ind w:left="408"/>
        <w:jc w:val="both"/>
        <w:rPr>
          <w:b/>
        </w:rPr>
      </w:pPr>
      <w:r>
        <w:rPr>
          <w:b/>
        </w:rPr>
        <w:t xml:space="preserve">5.1.2. Dne 14. května 2019 se bude dle oznámení společnosti </w:t>
      </w:r>
      <w:r>
        <w:rPr>
          <w:b/>
          <w:bCs/>
        </w:rPr>
        <w:t xml:space="preserve">VOLKSWAGEN AG </w:t>
      </w:r>
      <w:r>
        <w:rPr>
          <w:b/>
        </w:rPr>
        <w:t>konat řádná valná hromada společnosti (ŘVH).</w:t>
      </w:r>
    </w:p>
    <w:p w:rsidR="00A31820" w:rsidRDefault="00A31820" w:rsidP="00A31820">
      <w:pPr>
        <w:ind w:left="408"/>
        <w:jc w:val="both"/>
      </w:pPr>
    </w:p>
    <w:p w:rsidR="00A31820" w:rsidRDefault="00A31820" w:rsidP="00A3182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18.4.2019</w:t>
      </w:r>
      <w:proofErr w:type="gramEnd"/>
      <w:r>
        <w:t xml:space="preserve">. Rozhodný den pro účast na řádné valné hromadě byl stanoven na </w:t>
      </w:r>
      <w:proofErr w:type="gramStart"/>
      <w:r>
        <w:t>22.4.2019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31820" w:rsidRDefault="00A31820" w:rsidP="00A31820">
      <w:pPr>
        <w:ind w:left="408"/>
        <w:jc w:val="both"/>
      </w:pPr>
    </w:p>
    <w:p w:rsidR="00A31820" w:rsidRDefault="00A31820" w:rsidP="00A31820">
      <w:pPr>
        <w:ind w:left="408"/>
        <w:jc w:val="both"/>
      </w:pPr>
      <w:r>
        <w:t>Registrace případných zájemců pro účely účasti/hlasování na řádné valné hromadě bude RM-SYSTÉM, česká burza cenných papírů, a.s. zajišťovat ve spolupráci se společností VOLKSWAGEN AG, přičemž se bude jednat pouze o jejich registraci u společnosti VOLKSWAGEN AG.</w:t>
      </w:r>
    </w:p>
    <w:p w:rsidR="007B51A7" w:rsidRDefault="007B51A7" w:rsidP="007B51A7">
      <w:pPr>
        <w:jc w:val="both"/>
      </w:pPr>
    </w:p>
    <w:p w:rsidR="00AF53DB" w:rsidRDefault="00E50F80" w:rsidP="009A69ED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AF53DB" w:rsidRDefault="00D958E7" w:rsidP="00AF53DB">
      <w:pPr>
        <w:pStyle w:val="Nadpis5"/>
        <w:ind w:left="284" w:firstLine="124"/>
      </w:pPr>
      <w:r>
        <w:t>5.2.</w:t>
      </w:r>
      <w:r w:rsidR="009A69ED">
        <w:t>1</w:t>
      </w:r>
      <w:r w:rsidR="00AF53DB">
        <w:t xml:space="preserve"> Výplata dividendy u emise </w:t>
      </w:r>
      <w:r w:rsidR="00AF53DB" w:rsidRPr="00D10145">
        <w:t>DEUTSCHE TELEKOM AG</w:t>
      </w:r>
      <w:r w:rsidR="00AF53DB">
        <w:t xml:space="preserve">, ISIN: </w:t>
      </w:r>
      <w:r w:rsidR="00AF53DB" w:rsidRPr="00AF53DB">
        <w:t>DE0005557508</w:t>
      </w:r>
    </w:p>
    <w:p w:rsidR="00AF53DB" w:rsidRDefault="00AF53DB" w:rsidP="00AF53DB">
      <w:pPr>
        <w:ind w:left="408"/>
      </w:pPr>
      <w:r>
        <w:t>Rozhodný den pro výplatu dividendy: 28. března 2019</w:t>
      </w:r>
    </w:p>
    <w:p w:rsidR="00AF53DB" w:rsidRDefault="00AF53DB" w:rsidP="00AF53DB">
      <w:pPr>
        <w:ind w:left="408"/>
      </w:pPr>
      <w:r>
        <w:t>Výše dividendy: 0,70 EUR na jednu akcii</w:t>
      </w:r>
    </w:p>
    <w:p w:rsidR="00AF53DB" w:rsidRDefault="00AF53DB" w:rsidP="00AF53DB">
      <w:pPr>
        <w:ind w:left="408"/>
      </w:pPr>
      <w:r>
        <w:t>Předpokládaný den výplaty: 1. dubna2019</w:t>
      </w:r>
    </w:p>
    <w:p w:rsidR="00AF53DB" w:rsidRDefault="00AF53DB" w:rsidP="00AF53D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28.3.2019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:rsidR="00E4578B" w:rsidRDefault="00E4578B" w:rsidP="00E4578B">
      <w:pPr>
        <w:pStyle w:val="Nadpis5"/>
        <w:ind w:left="284" w:firstLine="124"/>
      </w:pPr>
      <w:r>
        <w:t xml:space="preserve">5.2.2 Výplata dividendy u emise </w:t>
      </w:r>
      <w:r w:rsidRPr="00E4578B">
        <w:t>A</w:t>
      </w:r>
      <w:r>
        <w:t xml:space="preserve">VAST </w:t>
      </w:r>
      <w:r w:rsidRPr="00E4578B">
        <w:t>PLC</w:t>
      </w:r>
      <w:r>
        <w:t xml:space="preserve">, ISIN: </w:t>
      </w:r>
      <w:r w:rsidRPr="00E4578B">
        <w:t>GB00BDD85M81</w:t>
      </w:r>
    </w:p>
    <w:p w:rsidR="00E4578B" w:rsidRDefault="00E4578B" w:rsidP="00E4578B">
      <w:pPr>
        <w:ind w:left="408"/>
      </w:pPr>
      <w:r>
        <w:t>Rozhodný den pro výplatu dividendy: 24. května 2019</w:t>
      </w:r>
    </w:p>
    <w:p w:rsidR="00E4578B" w:rsidRDefault="00E4578B" w:rsidP="00E4578B">
      <w:pPr>
        <w:ind w:left="408"/>
      </w:pPr>
      <w:r>
        <w:t>Výše dividendy: 0,086 USD na jednu akcii</w:t>
      </w:r>
    </w:p>
    <w:p w:rsidR="00E4578B" w:rsidRDefault="00E4578B" w:rsidP="00E4578B">
      <w:pPr>
        <w:ind w:left="408"/>
      </w:pPr>
      <w:r>
        <w:t>Předpokládaný den výplaty: 17. června 2019</w:t>
      </w:r>
    </w:p>
    <w:p w:rsidR="00E4578B" w:rsidRDefault="00E4578B" w:rsidP="00E4578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proofErr w:type="gramStart"/>
      <w:r>
        <w:t>24.5.2019</w:t>
      </w:r>
      <w:proofErr w:type="gramEnd"/>
      <w:r>
        <w:t xml:space="preserve">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</w:t>
      </w:r>
      <w:proofErr w:type="spellStart"/>
      <w:r>
        <w:t>Luxemburg.</w:t>
      </w:r>
      <w:r w:rsidR="00E305F4">
        <w:t>s</w:t>
      </w:r>
      <w:proofErr w:type="spellEnd"/>
    </w:p>
    <w:p w:rsidR="00E4578B" w:rsidRDefault="00E4578B" w:rsidP="00AF53DB">
      <w:pPr>
        <w:ind w:left="408"/>
        <w:jc w:val="both"/>
      </w:pPr>
    </w:p>
    <w:p w:rsidR="005B51F5" w:rsidRDefault="005B51F5" w:rsidP="00AF53DB">
      <w:pPr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603015">
        <w:rPr>
          <w:snapToGrid w:val="0"/>
        </w:rPr>
        <w:t>5.4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603015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37350">
        <w:rPr>
          <w:snapToGrid w:val="0"/>
        </w:rPr>
        <w:t>1</w:t>
      </w:r>
      <w:r w:rsidR="00603015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603015">
        <w:rPr>
          <w:rFonts w:ascii="Times New Roman" w:hAnsi="Times New Roman"/>
          <w:snapToGrid w:val="0"/>
        </w:rPr>
        <w:t>5.4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20" w:rsidRDefault="00A31820">
      <w:r>
        <w:separator/>
      </w:r>
    </w:p>
  </w:endnote>
  <w:endnote w:type="continuationSeparator" w:id="0">
    <w:p w:rsidR="00A31820" w:rsidRDefault="00A3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20" w:rsidRDefault="00A31820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20" w:rsidRDefault="00A31820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825A8A"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20" w:rsidRDefault="00A31820">
      <w:r>
        <w:separator/>
      </w:r>
    </w:p>
  </w:footnote>
  <w:footnote w:type="continuationSeparator" w:id="0">
    <w:p w:rsidR="00A31820" w:rsidRDefault="00A3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C5BC4-4AB4-4AA9-AD46-70FCB976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2621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18671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4</cp:revision>
  <cp:lastPrinted>2015-09-04T08:21:00Z</cp:lastPrinted>
  <dcterms:created xsi:type="dcterms:W3CDTF">2019-04-02T05:56:00Z</dcterms:created>
  <dcterms:modified xsi:type="dcterms:W3CDTF">2019-04-05T13:31:00Z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